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694C17">
        <w:rPr>
          <w:rFonts w:ascii="Arial" w:eastAsia="Malgun Gothic" w:hAnsi="Arial" w:cs="Arial"/>
          <w:b/>
          <w:sz w:val="24"/>
        </w:rPr>
        <w:t>90</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w:t>
      </w:r>
      <w:r w:rsidR="00694C17">
        <w:rPr>
          <w:rFonts w:ascii="Arial" w:eastAsia="Malgun Gothic" w:hAnsi="Arial" w:cs="Arial"/>
          <w:b/>
          <w:sz w:val="24"/>
        </w:rPr>
        <w:t>1</w:t>
      </w:r>
      <w:r w:rsidR="004B342F">
        <w:rPr>
          <w:rFonts w:ascii="Arial" w:eastAsia="Malgun Gothic" w:hAnsi="Arial" w:cs="Arial"/>
          <w:b/>
          <w:sz w:val="24"/>
        </w:rPr>
        <w:t>3105</w:t>
      </w:r>
      <w:bookmarkStart w:id="2" w:name="_GoBack"/>
      <w:bookmarkEnd w:id="2"/>
      <w:r w:rsidRPr="00861CDE">
        <w:rPr>
          <w:rFonts w:ascii="Arial" w:eastAsia="Malgun Gothic" w:hAnsi="Arial" w:cs="Arial"/>
          <w:b/>
          <w:sz w:val="24"/>
        </w:rPr>
        <w:br/>
      </w:r>
      <w:r w:rsidR="00694C17" w:rsidRPr="00694C17">
        <w:rPr>
          <w:rFonts w:ascii="Arial" w:eastAsia="Malgun Gothic" w:hAnsi="Arial" w:cs="Arial"/>
          <w:b/>
          <w:sz w:val="24"/>
        </w:rPr>
        <w:t>Electronic Meeting, 22nd February – 5th March 2021</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349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B6448E" w:rsidRPr="00B6448E">
        <w:rPr>
          <w:rFonts w:ascii="Arial" w:eastAsia="Malgun Gothic" w:hAnsi="Arial" w:cs="Arial"/>
          <w:b/>
          <w:sz w:val="24"/>
          <w:szCs w:val="24"/>
          <w:lang w:val="en-GB"/>
        </w:rPr>
        <w:t>On RRM FR2 test case Issue #5</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00B6448E">
        <w:rPr>
          <w:rFonts w:ascii="Arial" w:eastAsia="Malgun Gothic" w:hAnsi="Arial" w:cs="Arial"/>
          <w:sz w:val="24"/>
          <w:szCs w:val="24"/>
          <w:lang w:val="en-GB"/>
        </w:rPr>
        <w:t>Information</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B6448E" w:rsidP="001B5DBC">
      <w:r>
        <w:t>[1] identifies a number of open issues for RRM FR2 test cases. This contribution focuses on the explanation and proposed a solution for Issue #5:</w:t>
      </w:r>
    </w:p>
    <w:p w:rsidR="00B6448E" w:rsidRPr="00B6448E" w:rsidRDefault="00B6448E" w:rsidP="00B6448E">
      <w:pPr>
        <w:jc w:val="both"/>
        <w:rPr>
          <w:rFonts w:ascii="Arial" w:hAnsi="Arial"/>
          <w:highlight w:val="lightGray"/>
          <w:u w:val="single"/>
        </w:rPr>
      </w:pPr>
      <w:r w:rsidRPr="00B6448E">
        <w:rPr>
          <w:rFonts w:ascii="Arial" w:hAnsi="Arial"/>
          <w:highlight w:val="lightGray"/>
          <w:u w:val="single"/>
        </w:rPr>
        <w:t>2.5: Angle of Arrival/dB values incompatible</w:t>
      </w:r>
    </w:p>
    <w:p w:rsidR="00B6448E" w:rsidRPr="00B6448E" w:rsidRDefault="00B6448E" w:rsidP="00B6448E">
      <w:pPr>
        <w:spacing w:before="120" w:after="60"/>
        <w:jc w:val="both"/>
        <w:rPr>
          <w:rFonts w:ascii="Arial" w:hAnsi="Arial"/>
          <w:b/>
          <w:bCs/>
          <w:highlight w:val="lightGray"/>
        </w:rPr>
      </w:pPr>
      <w:r w:rsidRPr="00B6448E">
        <w:rPr>
          <w:rFonts w:ascii="Arial" w:hAnsi="Arial"/>
          <w:b/>
          <w:bCs/>
          <w:highlight w:val="lightGray"/>
        </w:rPr>
        <w:t>Summary of issue and why it needs to be resolved:</w:t>
      </w:r>
    </w:p>
    <w:p w:rsidR="00B6448E" w:rsidRPr="00B6448E" w:rsidRDefault="00B6448E" w:rsidP="00B6448E">
      <w:pPr>
        <w:jc w:val="both"/>
        <w:rPr>
          <w:rFonts w:ascii="Arial" w:hAnsi="Arial"/>
          <w:highlight w:val="lightGray"/>
        </w:rPr>
      </w:pPr>
      <w:r w:rsidRPr="00B6448E">
        <w:rPr>
          <w:rFonts w:ascii="Arial" w:hAnsi="Arial"/>
          <w:highlight w:val="lightGray"/>
        </w:rPr>
        <w:t xml:space="preserve">RRM test cases specify an Angle of Arrival for each FR2 cell, together with an assumption about the type of beam used by the UE. For the test case to work as intended, normally with </w:t>
      </w:r>
      <w:r w:rsidRPr="00B6448E">
        <w:rPr>
          <w:rFonts w:ascii="Arial" w:hAnsi="Arial" w:cs="Arial"/>
          <w:highlight w:val="lightGray"/>
        </w:rPr>
        <w:t>≤</w:t>
      </w:r>
      <w:r w:rsidRPr="00B6448E">
        <w:rPr>
          <w:rFonts w:ascii="Arial" w:hAnsi="Arial"/>
          <w:highlight w:val="lightGray"/>
        </w:rPr>
        <w:t xml:space="preserve">1dB SNR degradation from applied signal to UE baseband, the </w:t>
      </w:r>
      <w:proofErr w:type="spellStart"/>
      <w:r w:rsidRPr="00B6448E">
        <w:rPr>
          <w:rFonts w:ascii="Arial" w:hAnsi="Arial"/>
          <w:highlight w:val="lightGray"/>
        </w:rPr>
        <w:t>Noc</w:t>
      </w:r>
      <w:proofErr w:type="spellEnd"/>
      <w:r w:rsidRPr="00B6448E">
        <w:rPr>
          <w:rFonts w:ascii="Arial" w:hAnsi="Arial"/>
          <w:highlight w:val="lightGray"/>
        </w:rPr>
        <w:t xml:space="preserve"> level is chosen to be at least 6dB above the UE internal noise. A few test cases have </w:t>
      </w:r>
      <w:proofErr w:type="spellStart"/>
      <w:r w:rsidRPr="00B6448E">
        <w:rPr>
          <w:rFonts w:ascii="Arial" w:hAnsi="Arial"/>
          <w:highlight w:val="lightGray"/>
        </w:rPr>
        <w:t>Noc</w:t>
      </w:r>
      <w:proofErr w:type="spellEnd"/>
      <w:r w:rsidRPr="00B6448E">
        <w:rPr>
          <w:rFonts w:ascii="Arial" w:hAnsi="Arial"/>
          <w:highlight w:val="lightGray"/>
        </w:rPr>
        <w:t xml:space="preserve"> values incompatible with the specified Angle of Arrival and UE beam assumption.</w:t>
      </w:r>
    </w:p>
    <w:p w:rsidR="00B6448E" w:rsidRPr="00B6448E" w:rsidRDefault="00B6448E" w:rsidP="00B6448E">
      <w:pPr>
        <w:spacing w:before="120" w:after="60"/>
        <w:jc w:val="both"/>
        <w:rPr>
          <w:rFonts w:ascii="Arial" w:hAnsi="Arial"/>
          <w:b/>
          <w:bCs/>
          <w:highlight w:val="lightGray"/>
        </w:rPr>
      </w:pPr>
      <w:r w:rsidRPr="00B6448E">
        <w:rPr>
          <w:rFonts w:ascii="Arial" w:hAnsi="Arial"/>
          <w:b/>
          <w:bCs/>
          <w:highlight w:val="lightGray"/>
        </w:rPr>
        <w:t>Example:</w:t>
      </w:r>
    </w:p>
    <w:p w:rsidR="00B6448E" w:rsidRPr="00B6448E" w:rsidRDefault="00B6448E" w:rsidP="00B6448E">
      <w:pPr>
        <w:jc w:val="both"/>
        <w:rPr>
          <w:rFonts w:ascii="Arial" w:hAnsi="Arial"/>
          <w:highlight w:val="lightGray"/>
        </w:rPr>
      </w:pPr>
      <w:r w:rsidRPr="00B6448E">
        <w:rPr>
          <w:rFonts w:ascii="Arial" w:hAnsi="Arial"/>
          <w:highlight w:val="lightGray"/>
        </w:rPr>
        <w:t xml:space="preserve">Event-triggered reporting Test case A.7.6.1.1 specifies Spherical Coverage Angles of Arrival (setup 3), UE Beam assumption Rough, and </w:t>
      </w:r>
      <w:proofErr w:type="spellStart"/>
      <w:r w:rsidRPr="00B6448E">
        <w:rPr>
          <w:rFonts w:ascii="Arial" w:hAnsi="Arial"/>
          <w:highlight w:val="lightGray"/>
        </w:rPr>
        <w:t>Noc</w:t>
      </w:r>
      <w:proofErr w:type="spellEnd"/>
      <w:r w:rsidRPr="00B6448E">
        <w:rPr>
          <w:rFonts w:ascii="Arial" w:hAnsi="Arial"/>
          <w:highlight w:val="lightGray"/>
        </w:rPr>
        <w:t xml:space="preserve"> -102dBm/15kHz. To be 6dB above the UE internal noise in this scenario requires </w:t>
      </w:r>
      <w:proofErr w:type="spellStart"/>
      <w:r w:rsidRPr="00B6448E">
        <w:rPr>
          <w:rFonts w:ascii="Arial" w:hAnsi="Arial"/>
          <w:highlight w:val="lightGray"/>
        </w:rPr>
        <w:t>Noc</w:t>
      </w:r>
      <w:proofErr w:type="spellEnd"/>
      <w:r w:rsidRPr="00B6448E">
        <w:rPr>
          <w:rFonts w:ascii="Arial" w:hAnsi="Arial"/>
          <w:highlight w:val="lightGray"/>
        </w:rPr>
        <w:t xml:space="preserve"> -92dBm/15kHz.</w:t>
      </w:r>
    </w:p>
    <w:p w:rsidR="00B6448E" w:rsidRPr="00B6448E" w:rsidRDefault="00B6448E" w:rsidP="00B6448E">
      <w:pPr>
        <w:spacing w:before="120" w:after="60"/>
        <w:jc w:val="both"/>
        <w:rPr>
          <w:rFonts w:ascii="Arial" w:hAnsi="Arial"/>
          <w:b/>
          <w:bCs/>
          <w:highlight w:val="lightGray"/>
        </w:rPr>
      </w:pPr>
      <w:r w:rsidRPr="00B6448E">
        <w:rPr>
          <w:rFonts w:ascii="Arial" w:hAnsi="Arial"/>
          <w:b/>
          <w:bCs/>
          <w:highlight w:val="lightGray"/>
        </w:rPr>
        <w:t>Scope:</w:t>
      </w:r>
    </w:p>
    <w:p w:rsidR="00B6448E" w:rsidRPr="00B6448E" w:rsidRDefault="00B6448E" w:rsidP="00B6448E">
      <w:pPr>
        <w:jc w:val="both"/>
        <w:rPr>
          <w:rFonts w:ascii="Arial" w:hAnsi="Arial"/>
          <w:highlight w:val="lightGray"/>
        </w:rPr>
      </w:pPr>
      <w:r w:rsidRPr="00B6448E">
        <w:rPr>
          <w:rFonts w:ascii="Arial" w:hAnsi="Arial"/>
          <w:highlight w:val="lightGray"/>
        </w:rPr>
        <w:t>Assessment required, but Test cases A.7.6.1.1, A.7.6.1.3 + related A.5 TCs are known to have this issue.</w:t>
      </w:r>
    </w:p>
    <w:p w:rsidR="00B6448E" w:rsidRPr="00B6448E" w:rsidRDefault="00B6448E" w:rsidP="00B6448E">
      <w:pPr>
        <w:spacing w:before="120" w:after="60"/>
        <w:jc w:val="both"/>
        <w:rPr>
          <w:rFonts w:ascii="Arial" w:hAnsi="Arial"/>
          <w:b/>
          <w:bCs/>
          <w:highlight w:val="lightGray"/>
        </w:rPr>
      </w:pPr>
      <w:r w:rsidRPr="00B6448E">
        <w:rPr>
          <w:rFonts w:ascii="Arial" w:hAnsi="Arial"/>
          <w:b/>
          <w:bCs/>
          <w:highlight w:val="lightGray"/>
        </w:rPr>
        <w:t>Likely way forward:</w:t>
      </w:r>
    </w:p>
    <w:p w:rsidR="00B6448E" w:rsidRDefault="00B6448E" w:rsidP="00B6448E">
      <w:pPr>
        <w:jc w:val="both"/>
        <w:rPr>
          <w:rFonts w:ascii="Arial" w:hAnsi="Arial"/>
        </w:rPr>
      </w:pPr>
      <w:r w:rsidRPr="00B6448E">
        <w:rPr>
          <w:rFonts w:ascii="Arial" w:hAnsi="Arial"/>
          <w:highlight w:val="lightGray"/>
        </w:rPr>
        <w:t xml:space="preserve">Specify higher </w:t>
      </w:r>
      <w:proofErr w:type="spellStart"/>
      <w:r w:rsidRPr="00B6448E">
        <w:rPr>
          <w:rFonts w:ascii="Arial" w:hAnsi="Arial"/>
          <w:highlight w:val="lightGray"/>
        </w:rPr>
        <w:t>Noc</w:t>
      </w:r>
      <w:proofErr w:type="spellEnd"/>
      <w:r w:rsidRPr="00B6448E">
        <w:rPr>
          <w:rFonts w:ascii="Arial" w:hAnsi="Arial"/>
          <w:highlight w:val="lightGray"/>
        </w:rPr>
        <w:t xml:space="preserve"> level and review Es/</w:t>
      </w:r>
      <w:proofErr w:type="spellStart"/>
      <w:r w:rsidRPr="00B6448E">
        <w:rPr>
          <w:rFonts w:ascii="Arial" w:hAnsi="Arial"/>
          <w:highlight w:val="lightGray"/>
        </w:rPr>
        <w:t>Noc</w:t>
      </w:r>
      <w:proofErr w:type="spellEnd"/>
      <w:r w:rsidRPr="00B6448E">
        <w:rPr>
          <w:rFonts w:ascii="Arial" w:hAnsi="Arial"/>
          <w:highlight w:val="lightGray"/>
        </w:rPr>
        <w:t xml:space="preserve"> values, or specify Es only. Note Es/</w:t>
      </w:r>
      <w:proofErr w:type="spellStart"/>
      <w:r w:rsidRPr="00B6448E">
        <w:rPr>
          <w:rFonts w:ascii="Arial" w:hAnsi="Arial"/>
          <w:highlight w:val="lightGray"/>
        </w:rPr>
        <w:t>Iot</w:t>
      </w:r>
      <w:r w:rsidRPr="00B6448E">
        <w:rPr>
          <w:rFonts w:ascii="Arial" w:hAnsi="Arial"/>
          <w:highlight w:val="lightGray"/>
          <w:vertAlign w:val="subscript"/>
        </w:rPr>
        <w:t>BB</w:t>
      </w:r>
      <w:proofErr w:type="spellEnd"/>
      <w:r w:rsidRPr="00B6448E">
        <w:rPr>
          <w:rFonts w:ascii="Arial" w:hAnsi="Arial"/>
          <w:highlight w:val="lightGray"/>
        </w:rPr>
        <w:t xml:space="preserve"> and Io side condition requirements for both 120kHz/240kHz SSB SCS to give a reliable test verdict and to fulfil the test purpose.</w:t>
      </w:r>
    </w:p>
    <w:p w:rsidR="00B6448E" w:rsidRDefault="00B6448E" w:rsidP="001B5DBC"/>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B6448E" w:rsidRDefault="00B6448E" w:rsidP="001B5DBC">
      <w:r>
        <w:t xml:space="preserve">The first issue for test cases 5.6.1.1, 5.6.1.3, 7.6.1.1 and 7.6.1.3 is that they configure intra-frequency cells coming from different </w:t>
      </w:r>
      <w:proofErr w:type="spellStart"/>
      <w:r>
        <w:t>AoAs</w:t>
      </w:r>
      <w:proofErr w:type="spellEnd"/>
      <w:r>
        <w:t xml:space="preserve">. Both cells use the same SSB Index (#0) and OCNG. Since both cells come from different </w:t>
      </w:r>
      <w:proofErr w:type="spellStart"/>
      <w:r>
        <w:t>AoA</w:t>
      </w:r>
      <w:proofErr w:type="spellEnd"/>
      <w:r>
        <w:t xml:space="preserve">, the UE will receive each cell with a different antenna beam (or different beam configuration), and we need to apply </w:t>
      </w:r>
      <w:proofErr w:type="gramStart"/>
      <w:r>
        <w:t>a the</w:t>
      </w:r>
      <w:proofErr w:type="gramEnd"/>
      <w:r>
        <w:t xml:space="preserve"> UE antenna gain offset [-10, 20] dB to each cell independently. </w:t>
      </w:r>
    </w:p>
    <w:p w:rsidR="00B6448E" w:rsidRDefault="00B6448E" w:rsidP="001B5DBC">
      <w:r>
        <w:t xml:space="preserve">Therefore, the signal level at UE baseband has a very high variability, and it is impossible to find a configuration to reliable determine that the UE should identify Event A3 (Cell 2 becomes an offset better than Cell 1). </w:t>
      </w:r>
    </w:p>
    <w:p w:rsidR="00B6448E" w:rsidRDefault="00B6448E" w:rsidP="001B5DBC">
      <w:r>
        <w:t>Based on this analysis, the following changes are needed for the test case:</w:t>
      </w:r>
    </w:p>
    <w:p w:rsidR="00B6448E" w:rsidRDefault="00B6448E" w:rsidP="00B6448E">
      <w:pPr>
        <w:pStyle w:val="ListParagraph"/>
        <w:numPr>
          <w:ilvl w:val="0"/>
          <w:numId w:val="31"/>
        </w:numPr>
      </w:pPr>
      <w:r>
        <w:t>OCNG should be activated only for one of the cells</w:t>
      </w:r>
    </w:p>
    <w:p w:rsidR="00B6448E" w:rsidRDefault="00B6448E" w:rsidP="00B6448E">
      <w:pPr>
        <w:pStyle w:val="ListParagraph"/>
        <w:numPr>
          <w:ilvl w:val="0"/>
          <w:numId w:val="31"/>
        </w:numPr>
      </w:pPr>
      <w:r>
        <w:t>The SSB Index of the second cell should be changed to SSB Index 1</w:t>
      </w:r>
    </w:p>
    <w:p w:rsidR="00B6448E" w:rsidRDefault="00B6448E" w:rsidP="00B6448E">
      <w:pPr>
        <w:pStyle w:val="ListParagraph"/>
        <w:numPr>
          <w:ilvl w:val="0"/>
          <w:numId w:val="31"/>
        </w:numPr>
      </w:pPr>
      <w:r>
        <w:t xml:space="preserve">OCNG pattern in the first cell should </w:t>
      </w:r>
      <w:proofErr w:type="gramStart"/>
      <w:r>
        <w:t>take into account</w:t>
      </w:r>
      <w:proofErr w:type="gramEnd"/>
      <w:r>
        <w:t xml:space="preserve"> the transmission of the second cell, as in the Figure</w:t>
      </w:r>
    </w:p>
    <w:p w:rsidR="00B6448E" w:rsidRDefault="00B6448E" w:rsidP="00B6448E">
      <w:pPr>
        <w:pStyle w:val="ListParagraph"/>
        <w:numPr>
          <w:ilvl w:val="0"/>
          <w:numId w:val="0"/>
        </w:numPr>
        <w:ind w:left="720"/>
      </w:pPr>
      <w:r>
        <w:rPr>
          <w:b/>
          <w:bCs/>
          <w:noProof/>
          <w:lang w:val="en-GB"/>
        </w:rPr>
        <w:lastRenderedPageBreak/>
        <w:drawing>
          <wp:inline distT="0" distB="0" distL="0" distR="0">
            <wp:extent cx="4733925" cy="3190875"/>
            <wp:effectExtent l="0" t="0" r="9525" b="9525"/>
            <wp:docPr id="1" name="Picture 1" descr="cid:image001.png@01D74299.196AD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4299.196AD4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733925" cy="3190875"/>
                    </a:xfrm>
                    <a:prstGeom prst="rect">
                      <a:avLst/>
                    </a:prstGeom>
                    <a:noFill/>
                    <a:ln>
                      <a:noFill/>
                    </a:ln>
                  </pic:spPr>
                </pic:pic>
              </a:graphicData>
            </a:graphic>
          </wp:inline>
        </w:drawing>
      </w:r>
    </w:p>
    <w:p w:rsidR="00B6448E" w:rsidRDefault="008B58E4" w:rsidP="008B58E4">
      <w:r>
        <w:t xml:space="preserve">Furthermore, each cell configures AWGN. Typically, the AWGN for intra-frequency configurations would only be configured once, since otherwise the total AWGN would add up and be 3 dB higher than configured. Since each cell comes from a different </w:t>
      </w:r>
      <w:proofErr w:type="spellStart"/>
      <w:r>
        <w:t>AoA</w:t>
      </w:r>
      <w:proofErr w:type="spellEnd"/>
      <w:r>
        <w:t xml:space="preserve">, the configuration of AWGN should be somehow distributed between each cell. However, it would become unpredictable how much AWGN is the UE seeing, since it would depend also on beam width, </w:t>
      </w:r>
      <w:proofErr w:type="spellStart"/>
      <w:r>
        <w:t>AoA</w:t>
      </w:r>
      <w:proofErr w:type="spellEnd"/>
      <w:r>
        <w:t xml:space="preserve"> offset between the cells, etc. Given that, in order to meet the side conditions, there is a high chance that the AWGN needs to be removed anyway, the proposal is to apply only Es instead of Es/</w:t>
      </w:r>
      <w:proofErr w:type="spellStart"/>
      <w:r>
        <w:t>Noc</w:t>
      </w:r>
      <w:proofErr w:type="spellEnd"/>
      <w:r>
        <w:t xml:space="preserve"> for the event triggered test cases with 2 </w:t>
      </w:r>
      <w:proofErr w:type="spellStart"/>
      <w:r>
        <w:t>AoA</w:t>
      </w:r>
      <w:proofErr w:type="spellEnd"/>
      <w:r>
        <w:t xml:space="preserve">. </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861CDE" w:rsidRDefault="008B58E4" w:rsidP="001B5DBC">
      <w:r>
        <w:t>This paper is presented for information and documentation of the solution to the issue. The corresponding changes are being implemented already in RAN4 and RAN5.</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B6448E" w:rsidP="001A530E">
      <w:pPr>
        <w:numPr>
          <w:ilvl w:val="0"/>
          <w:numId w:val="30"/>
        </w:numPr>
        <w:tabs>
          <w:tab w:val="left" w:pos="426"/>
        </w:tabs>
        <w:overflowPunct w:val="0"/>
        <w:autoSpaceDE w:val="0"/>
        <w:autoSpaceDN w:val="0"/>
        <w:adjustRightInd w:val="0"/>
        <w:spacing w:after="180" w:line="240" w:lineRule="auto"/>
        <w:textAlignment w:val="baseline"/>
      </w:pPr>
      <w:r>
        <w:t>R5-21</w:t>
      </w:r>
      <w:r w:rsidR="008B58E4">
        <w:t>2634</w:t>
      </w:r>
      <w:r w:rsidR="001A530E">
        <w:t>, “</w:t>
      </w:r>
      <w:r w:rsidRPr="00B6448E">
        <w:t>FR2 RRM test cases: Known Issues</w:t>
      </w:r>
      <w:r w:rsidR="001A530E">
        <w:t>”</w:t>
      </w:r>
      <w:r>
        <w:t>, Anritsu</w:t>
      </w:r>
    </w:p>
    <w:p w:rsidR="00861CDE" w:rsidRPr="001B5DBC" w:rsidRDefault="00861CDE" w:rsidP="001B5DBC"/>
    <w:sectPr w:rsidR="00861CDE"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EBB" w:rsidRDefault="006E1EBB" w:rsidP="007D0431">
      <w:pPr>
        <w:spacing w:after="0" w:line="240" w:lineRule="auto"/>
      </w:pPr>
      <w:r>
        <w:separator/>
      </w:r>
    </w:p>
  </w:endnote>
  <w:endnote w:type="continuationSeparator" w:id="0">
    <w:p w:rsidR="006E1EBB" w:rsidRDefault="006E1EBB"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EBB" w:rsidRDefault="006E1EBB" w:rsidP="007D0431">
      <w:pPr>
        <w:spacing w:after="0" w:line="240" w:lineRule="auto"/>
      </w:pPr>
      <w:r>
        <w:separator/>
      </w:r>
    </w:p>
  </w:footnote>
  <w:footnote w:type="continuationSeparator" w:id="0">
    <w:p w:rsidR="006E1EBB" w:rsidRDefault="006E1EBB"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3E9D5BE6"/>
    <w:multiLevelType w:val="multilevel"/>
    <w:tmpl w:val="1B04B730"/>
    <w:numStyleLink w:val="RSBullets"/>
  </w:abstractNum>
  <w:abstractNum w:abstractNumId="16" w15:restartNumberingAfterBreak="0">
    <w:nsid w:val="406C2E72"/>
    <w:multiLevelType w:val="multilevel"/>
    <w:tmpl w:val="1B04B730"/>
    <w:numStyleLink w:val="RSBullets"/>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8C71072"/>
    <w:multiLevelType w:val="hybridMultilevel"/>
    <w:tmpl w:val="1B027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C31123"/>
    <w:multiLevelType w:val="multilevel"/>
    <w:tmpl w:val="1B04B730"/>
    <w:numStyleLink w:val="RSBullets"/>
  </w:abstractNum>
  <w:abstractNum w:abstractNumId="25"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A56C02"/>
    <w:multiLevelType w:val="multilevel"/>
    <w:tmpl w:val="760620C0"/>
    <w:numStyleLink w:val="1ai"/>
  </w:abstractNum>
  <w:abstractNum w:abstractNumId="27" w15:restartNumberingAfterBreak="0">
    <w:nsid w:val="65BC23B4"/>
    <w:multiLevelType w:val="multilevel"/>
    <w:tmpl w:val="1B04B730"/>
    <w:numStyleLink w:val="RSBullets"/>
  </w:abstractNum>
  <w:num w:numId="1">
    <w:abstractNumId w:val="8"/>
  </w:num>
  <w:num w:numId="2">
    <w:abstractNumId w:val="19"/>
  </w:num>
  <w:num w:numId="3">
    <w:abstractNumId w:val="14"/>
  </w:num>
  <w:num w:numId="4">
    <w:abstractNumId w:val="11"/>
  </w:num>
  <w:num w:numId="5">
    <w:abstractNumId w:val="6"/>
  </w:num>
  <w:num w:numId="6">
    <w:abstractNumId w:val="4"/>
  </w:num>
  <w:num w:numId="7">
    <w:abstractNumId w:val="12"/>
  </w:num>
  <w:num w:numId="8">
    <w:abstractNumId w:val="21"/>
  </w:num>
  <w:num w:numId="9">
    <w:abstractNumId w:val="23"/>
  </w:num>
  <w:num w:numId="10">
    <w:abstractNumId w:val="3"/>
  </w:num>
  <w:num w:numId="11">
    <w:abstractNumId w:val="7"/>
  </w:num>
  <w:num w:numId="12">
    <w:abstractNumId w:val="9"/>
  </w:num>
  <w:num w:numId="13">
    <w:abstractNumId w:val="15"/>
  </w:num>
  <w:num w:numId="14">
    <w:abstractNumId w:val="18"/>
  </w:num>
  <w:num w:numId="15">
    <w:abstractNumId w:val="16"/>
  </w:num>
  <w:num w:numId="16">
    <w:abstractNumId w:val="25"/>
  </w:num>
  <w:num w:numId="17">
    <w:abstractNumId w:val="24"/>
  </w:num>
  <w:num w:numId="18">
    <w:abstractNumId w:val="27"/>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85B3E"/>
    <w:rsid w:val="00093490"/>
    <w:rsid w:val="000A023B"/>
    <w:rsid w:val="000A69EA"/>
    <w:rsid w:val="000E35A6"/>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63D89"/>
    <w:rsid w:val="00465C54"/>
    <w:rsid w:val="004B14CB"/>
    <w:rsid w:val="004B342F"/>
    <w:rsid w:val="004E7E35"/>
    <w:rsid w:val="004F1C5B"/>
    <w:rsid w:val="00500BA1"/>
    <w:rsid w:val="00503116"/>
    <w:rsid w:val="00520C26"/>
    <w:rsid w:val="00521709"/>
    <w:rsid w:val="00532390"/>
    <w:rsid w:val="00534070"/>
    <w:rsid w:val="0054297B"/>
    <w:rsid w:val="005433BF"/>
    <w:rsid w:val="00554991"/>
    <w:rsid w:val="0059369C"/>
    <w:rsid w:val="00594E12"/>
    <w:rsid w:val="005C77D0"/>
    <w:rsid w:val="005D51A4"/>
    <w:rsid w:val="005E286D"/>
    <w:rsid w:val="00630DB5"/>
    <w:rsid w:val="0064067F"/>
    <w:rsid w:val="00694C17"/>
    <w:rsid w:val="006B59CE"/>
    <w:rsid w:val="006D5DE8"/>
    <w:rsid w:val="006E1EBB"/>
    <w:rsid w:val="006E77C0"/>
    <w:rsid w:val="007054F4"/>
    <w:rsid w:val="007366B5"/>
    <w:rsid w:val="007468E6"/>
    <w:rsid w:val="00757E33"/>
    <w:rsid w:val="00781E78"/>
    <w:rsid w:val="007A552B"/>
    <w:rsid w:val="007B5F72"/>
    <w:rsid w:val="007C5A1B"/>
    <w:rsid w:val="007D0431"/>
    <w:rsid w:val="007E3502"/>
    <w:rsid w:val="007E4F6F"/>
    <w:rsid w:val="007F7350"/>
    <w:rsid w:val="00806F61"/>
    <w:rsid w:val="00811938"/>
    <w:rsid w:val="00816E81"/>
    <w:rsid w:val="00861CDE"/>
    <w:rsid w:val="008922BC"/>
    <w:rsid w:val="008B58E4"/>
    <w:rsid w:val="008C1B71"/>
    <w:rsid w:val="008D3C8A"/>
    <w:rsid w:val="008E1D01"/>
    <w:rsid w:val="008E436F"/>
    <w:rsid w:val="008E7B7D"/>
    <w:rsid w:val="00900940"/>
    <w:rsid w:val="00910F48"/>
    <w:rsid w:val="00915BD2"/>
    <w:rsid w:val="009213E6"/>
    <w:rsid w:val="00927983"/>
    <w:rsid w:val="0094562B"/>
    <w:rsid w:val="00950F4E"/>
    <w:rsid w:val="00962C49"/>
    <w:rsid w:val="0099541E"/>
    <w:rsid w:val="009A7252"/>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6448E"/>
    <w:rsid w:val="00B80285"/>
    <w:rsid w:val="00B94D6B"/>
    <w:rsid w:val="00BA08A1"/>
    <w:rsid w:val="00BB2BD9"/>
    <w:rsid w:val="00BE07D9"/>
    <w:rsid w:val="00BE46B9"/>
    <w:rsid w:val="00BE7460"/>
    <w:rsid w:val="00BF2053"/>
    <w:rsid w:val="00BF4658"/>
    <w:rsid w:val="00C154F0"/>
    <w:rsid w:val="00C1647C"/>
    <w:rsid w:val="00C30D53"/>
    <w:rsid w:val="00C314CC"/>
    <w:rsid w:val="00C33B71"/>
    <w:rsid w:val="00C34351"/>
    <w:rsid w:val="00C36D6F"/>
    <w:rsid w:val="00C40172"/>
    <w:rsid w:val="00C405F7"/>
    <w:rsid w:val="00C601F9"/>
    <w:rsid w:val="00C746EF"/>
    <w:rsid w:val="00C763E9"/>
    <w:rsid w:val="00C910F3"/>
    <w:rsid w:val="00C976AE"/>
    <w:rsid w:val="00CC6AF4"/>
    <w:rsid w:val="00CF1C34"/>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918F7"/>
    <w:rsid w:val="00E930FE"/>
    <w:rsid w:val="00EA62F3"/>
    <w:rsid w:val="00EB0D37"/>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6001D"/>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7B7D"/>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74299.196AD420" TargetMode="Externa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BDF400BA-0965-446D-B6FC-6C2EBCEA1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10</cp:revision>
  <cp:lastPrinted>2015-11-10T12:30:00Z</cp:lastPrinted>
  <dcterms:created xsi:type="dcterms:W3CDTF">2020-04-29T06:43:00Z</dcterms:created>
  <dcterms:modified xsi:type="dcterms:W3CDTF">2021-05-07T11:18:00Z</dcterms:modified>
</cp:coreProperties>
</file>